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Theme="minorEastAsia" w:hAnsiTheme="minorEastAsia"/>
          <w:sz w:val="22"/>
        </w:rPr>
      </w:pPr>
      <w:bookmarkStart w:id="0" w:name="_GoBack"/>
      <w:bookmarkEnd w:id="0"/>
      <w:r>
        <w:rPr>
          <w:rFonts w:hint="eastAsia" w:ascii="ＭＳ 明朝" w:hAnsi="ＭＳ 明朝"/>
          <w:sz w:val="22"/>
        </w:rPr>
        <w:t>「可児市プレミアムＫマネー事業」実施業務</w:t>
      </w:r>
      <w:r>
        <w:rPr>
          <w:rFonts w:hint="eastAsia" w:asciiTheme="minorEastAsia" w:hAnsiTheme="minorEastAsia"/>
          <w:sz w:val="22"/>
        </w:rPr>
        <w:t>プロポーザル審査要領</w:t>
      </w:r>
    </w:p>
    <w:p>
      <w:pPr>
        <w:pStyle w:val="0"/>
        <w:autoSpaceDE w:val="0"/>
        <w:autoSpaceDN w:val="0"/>
        <w:rPr>
          <w:rFonts w:hint="default" w:asciiTheme="minorEastAsia" w:hAnsiTheme="minorEastAsia"/>
          <w:sz w:val="22"/>
        </w:rPr>
      </w:pPr>
    </w:p>
    <w:p>
      <w:pPr>
        <w:pStyle w:val="0"/>
        <w:autoSpaceDE w:val="0"/>
        <w:autoSpaceDN w:val="0"/>
        <w:jc w:val="right"/>
        <w:rPr>
          <w:rFonts w:hint="default" w:asciiTheme="minorEastAsia" w:hAnsiTheme="minorEastAsia"/>
          <w:sz w:val="22"/>
        </w:rPr>
      </w:pPr>
      <w:r>
        <w:rPr>
          <w:rFonts w:hint="eastAsia" w:asciiTheme="minorEastAsia" w:hAnsiTheme="minorEastAsia"/>
          <w:sz w:val="22"/>
        </w:rPr>
        <w:t>令和４年１月　企画部総合政策課</w:t>
      </w:r>
    </w:p>
    <w:p>
      <w:pPr>
        <w:pStyle w:val="0"/>
        <w:autoSpaceDE w:val="0"/>
        <w:autoSpaceDN w:val="0"/>
        <w:rPr>
          <w:rFonts w:hint="default" w:asciiTheme="minorEastAsia" w:hAnsiTheme="minorEastAsia"/>
          <w:sz w:val="22"/>
        </w:rPr>
      </w:pPr>
    </w:p>
    <w:p>
      <w:pPr>
        <w:pStyle w:val="0"/>
        <w:autoSpaceDE w:val="0"/>
        <w:autoSpaceDN w:val="0"/>
        <w:rPr>
          <w:rFonts w:hint="default" w:asciiTheme="minorEastAsia" w:hAnsiTheme="minorEastAsia"/>
          <w:sz w:val="22"/>
        </w:rPr>
      </w:pPr>
      <w:r>
        <w:rPr>
          <w:rFonts w:hint="eastAsia" w:asciiTheme="minorEastAsia" w:hAnsiTheme="minorEastAsia"/>
          <w:sz w:val="22"/>
        </w:rPr>
        <w:t>１　目的</w:t>
      </w:r>
    </w:p>
    <w:p>
      <w:pPr>
        <w:pStyle w:val="0"/>
        <w:ind w:left="282" w:leftChars="117" w:firstLine="284" w:firstLineChars="113"/>
        <w:rPr>
          <w:rFonts w:hint="default" w:asciiTheme="minorEastAsia" w:hAnsiTheme="minorEastAsia"/>
          <w:sz w:val="22"/>
        </w:rPr>
      </w:pPr>
      <w:r>
        <w:rPr>
          <w:rFonts w:hint="eastAsia" w:ascii="ＭＳ 明朝" w:hAnsi="ＭＳ 明朝"/>
          <w:sz w:val="22"/>
        </w:rPr>
        <w:t>本事業は、感染拡大防止に留意しつつ、簡素な仕組みで迅速かつ的確に事業行う目的で可児市を事業の実施主体とし実施するもので、事業の目的を踏まえ、迅速かつ的確に実施ために、</w:t>
      </w:r>
      <w:r>
        <w:rPr>
          <w:rFonts w:hint="eastAsia" w:asciiTheme="minorEastAsia" w:hAnsiTheme="minorEastAsia"/>
          <w:sz w:val="22"/>
        </w:rPr>
        <w:t>業務全般に関する豊富な知識と実績を有する最適な随意契約の相手方となる候補者を公募型プロポーザル方式により選定するため必要な事項を定めるもの。</w:t>
      </w:r>
    </w:p>
    <w:p>
      <w:pPr>
        <w:pStyle w:val="0"/>
        <w:autoSpaceDE w:val="0"/>
        <w:autoSpaceDN w:val="0"/>
        <w:rPr>
          <w:rFonts w:hint="default" w:asciiTheme="minorEastAsia" w:hAnsiTheme="minorEastAsia"/>
          <w:sz w:val="22"/>
        </w:rPr>
      </w:pPr>
    </w:p>
    <w:p>
      <w:pPr>
        <w:pStyle w:val="0"/>
        <w:autoSpaceDE w:val="0"/>
        <w:autoSpaceDN w:val="0"/>
        <w:rPr>
          <w:rFonts w:hint="default" w:asciiTheme="minorEastAsia" w:hAnsiTheme="minorEastAsia"/>
          <w:sz w:val="22"/>
        </w:rPr>
      </w:pPr>
      <w:r>
        <w:rPr>
          <w:rFonts w:hint="eastAsia" w:asciiTheme="minorEastAsia" w:hAnsiTheme="minorEastAsia"/>
          <w:sz w:val="22"/>
        </w:rPr>
        <w:t>２　選定委員会</w:t>
      </w:r>
    </w:p>
    <w:p>
      <w:pPr>
        <w:pStyle w:val="0"/>
        <w:autoSpaceDE w:val="0"/>
        <w:autoSpaceDN w:val="0"/>
        <w:ind w:left="241" w:leftChars="100" w:firstLine="251" w:firstLineChars="100"/>
        <w:rPr>
          <w:rFonts w:hint="default" w:asciiTheme="minorEastAsia" w:hAnsiTheme="minorEastAsia"/>
          <w:sz w:val="22"/>
        </w:rPr>
      </w:pPr>
      <w:r>
        <w:rPr>
          <w:rFonts w:hint="eastAsia" w:asciiTheme="minorEastAsia" w:hAnsiTheme="minorEastAsia"/>
          <w:sz w:val="22"/>
        </w:rPr>
        <w:t>５人で組織する「</w:t>
      </w:r>
      <w:r>
        <w:rPr>
          <w:rFonts w:hint="eastAsia" w:ascii="ＭＳ 明朝" w:hAnsi="ＭＳ 明朝"/>
          <w:sz w:val="22"/>
        </w:rPr>
        <w:t>可児市プレミアムＫマネー事業」実施業務</w:t>
      </w:r>
      <w:r>
        <w:rPr>
          <w:rFonts w:hint="eastAsia" w:asciiTheme="minorEastAsia" w:hAnsiTheme="minorEastAsia"/>
          <w:sz w:val="22"/>
        </w:rPr>
        <w:t>選定委員会（以下、「選定委員会」という。）が審査し、候補者を選定する。</w:t>
      </w:r>
    </w:p>
    <w:p>
      <w:pPr>
        <w:pStyle w:val="0"/>
        <w:autoSpaceDE w:val="0"/>
        <w:autoSpaceDN w:val="0"/>
        <w:ind w:firstLine="502" w:firstLineChars="200"/>
        <w:rPr>
          <w:rFonts w:hint="default" w:asciiTheme="minorEastAsia" w:hAnsiTheme="minorEastAsia"/>
          <w:sz w:val="22"/>
        </w:rPr>
      </w:pPr>
      <w:r>
        <w:rPr>
          <w:rFonts w:hint="eastAsia" w:asciiTheme="minorEastAsia" w:hAnsiTheme="minorEastAsia"/>
          <w:sz w:val="22"/>
        </w:rPr>
        <w:t>選定委員は次のとおり。</w:t>
      </w:r>
    </w:p>
    <w:tbl>
      <w:tblPr>
        <w:tblStyle w:val="11"/>
        <w:tblW w:w="8646" w:type="dxa"/>
        <w:tblInd w:w="421" w:type="dxa"/>
        <w:tblLayout w:type="fixed"/>
        <w:tblCellMar>
          <w:left w:w="99" w:type="dxa"/>
          <w:right w:w="99" w:type="dxa"/>
        </w:tblCellMar>
        <w:tblLook w:firstRow="1" w:lastRow="0" w:firstColumn="1" w:lastColumn="0" w:noHBand="0" w:noVBand="1" w:val="04A0"/>
      </w:tblPr>
      <w:tblGrid>
        <w:gridCol w:w="1521"/>
        <w:gridCol w:w="2126"/>
        <w:gridCol w:w="4999"/>
      </w:tblGrid>
      <w:tr>
        <w:trPr>
          <w:trHeight w:val="480" w:hRule="atLeast"/>
        </w:trPr>
        <w:tc>
          <w:tcPr>
            <w:tcW w:w="15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FFFF00"/>
            <w:vAlign w:val="center"/>
          </w:tcPr>
          <w:p>
            <w:pPr>
              <w:pStyle w:val="0"/>
              <w:widowControl w:val="1"/>
              <w:autoSpaceDE w:val="0"/>
              <w:autoSpaceDN w:val="0"/>
              <w:jc w:val="center"/>
              <w:rPr>
                <w:rFonts w:hint="default" w:asciiTheme="minorEastAsia" w:hAnsiTheme="minorEastAsia"/>
                <w:kern w:val="0"/>
                <w:sz w:val="22"/>
              </w:rPr>
            </w:pPr>
            <w:r>
              <w:rPr>
                <w:rFonts w:hint="eastAsia" w:asciiTheme="minorEastAsia" w:hAnsiTheme="minorEastAsia"/>
                <w:kern w:val="0"/>
                <w:sz w:val="22"/>
              </w:rPr>
              <w:t>役職</w:t>
            </w: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00"/>
            <w:vAlign w:val="center"/>
          </w:tcPr>
          <w:p>
            <w:pPr>
              <w:pStyle w:val="0"/>
              <w:widowControl w:val="1"/>
              <w:autoSpaceDE w:val="0"/>
              <w:autoSpaceDN w:val="0"/>
              <w:jc w:val="center"/>
              <w:rPr>
                <w:rFonts w:hint="default" w:asciiTheme="minorEastAsia" w:hAnsiTheme="minorEastAsia"/>
                <w:kern w:val="0"/>
                <w:sz w:val="22"/>
              </w:rPr>
            </w:pPr>
            <w:r>
              <w:rPr>
                <w:rFonts w:hint="eastAsia" w:asciiTheme="minorEastAsia" w:hAnsiTheme="minorEastAsia"/>
                <w:kern w:val="0"/>
                <w:sz w:val="22"/>
              </w:rPr>
              <w:t>氏　　名</w:t>
            </w:r>
          </w:p>
        </w:tc>
        <w:tc>
          <w:tcPr>
            <w:tcW w:w="4999"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00"/>
            <w:vAlign w:val="center"/>
          </w:tcPr>
          <w:p>
            <w:pPr>
              <w:pStyle w:val="0"/>
              <w:widowControl w:val="1"/>
              <w:autoSpaceDE w:val="0"/>
              <w:autoSpaceDN w:val="0"/>
              <w:jc w:val="center"/>
              <w:rPr>
                <w:rFonts w:hint="default" w:asciiTheme="minorEastAsia" w:hAnsiTheme="minorEastAsia"/>
                <w:kern w:val="0"/>
                <w:sz w:val="22"/>
              </w:rPr>
            </w:pPr>
            <w:r>
              <w:rPr>
                <w:rFonts w:hint="eastAsia" w:asciiTheme="minorEastAsia" w:hAnsiTheme="minorEastAsia"/>
                <w:kern w:val="0"/>
                <w:sz w:val="22"/>
              </w:rPr>
              <w:t>備　　　　　　考</w:t>
            </w:r>
          </w:p>
        </w:tc>
      </w:tr>
      <w:tr>
        <w:trPr>
          <w:trHeight w:val="454" w:hRule="atLeast"/>
        </w:trPr>
        <w:tc>
          <w:tcPr>
            <w:tcW w:w="15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Theme="minorEastAsia" w:hAnsiTheme="minorEastAsia"/>
                <w:color w:val="000000"/>
                <w:kern w:val="0"/>
                <w:sz w:val="22"/>
              </w:rPr>
            </w:pPr>
            <w:r>
              <w:rPr>
                <w:rFonts w:hint="eastAsia" w:asciiTheme="minorEastAsia" w:hAnsiTheme="minorEastAsia"/>
                <w:color w:val="000000"/>
                <w:kern w:val="0"/>
                <w:sz w:val="22"/>
              </w:rPr>
              <w:t>委員長</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rPr>
            </w:pPr>
            <w:r>
              <w:rPr>
                <w:rFonts w:hint="eastAsia"/>
              </w:rPr>
              <w:t>坪内　豊</w:t>
            </w:r>
          </w:p>
        </w:tc>
        <w:tc>
          <w:tcPr>
            <w:tcW w:w="49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rPr>
            </w:pPr>
            <w:r>
              <w:rPr>
                <w:rFonts w:hint="eastAsia"/>
              </w:rPr>
              <w:t>　企画部長</w:t>
            </w:r>
          </w:p>
        </w:tc>
      </w:tr>
      <w:tr>
        <w:trPr>
          <w:trHeight w:val="454" w:hRule="atLeast"/>
        </w:trPr>
        <w:tc>
          <w:tcPr>
            <w:tcW w:w="15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Theme="minorEastAsia" w:hAnsiTheme="minorEastAsia"/>
                <w:color w:val="000000"/>
                <w:kern w:val="0"/>
                <w:sz w:val="22"/>
              </w:rPr>
            </w:pPr>
            <w:r>
              <w:rPr>
                <w:rFonts w:hint="eastAsia" w:asciiTheme="minorEastAsia" w:hAnsiTheme="minorEastAsia"/>
                <w:color w:val="000000"/>
                <w:kern w:val="0"/>
                <w:sz w:val="22"/>
              </w:rPr>
              <w:t>委員長代理</w:t>
            </w:r>
          </w:p>
        </w:tc>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水野　修</w:t>
            </w:r>
          </w:p>
        </w:tc>
        <w:tc>
          <w:tcPr>
            <w:tcW w:w="49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rPr>
            </w:pPr>
            <w:r>
              <w:rPr>
                <w:rFonts w:hint="eastAsia"/>
              </w:rPr>
              <w:t>　総合政策課長</w:t>
            </w:r>
          </w:p>
        </w:tc>
      </w:tr>
      <w:tr>
        <w:trPr>
          <w:trHeight w:val="454" w:hRule="atLeast"/>
        </w:trPr>
        <w:tc>
          <w:tcPr>
            <w:tcW w:w="15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Theme="minorEastAsia" w:hAnsiTheme="minorEastAsia"/>
                <w:color w:val="000000"/>
                <w:kern w:val="0"/>
                <w:sz w:val="22"/>
              </w:rPr>
            </w:pPr>
            <w:r>
              <w:rPr>
                <w:rFonts w:hint="eastAsia" w:asciiTheme="minorEastAsia" w:hAnsiTheme="minorEastAsia"/>
                <w:color w:val="000000"/>
                <w:kern w:val="0"/>
                <w:sz w:val="22"/>
              </w:rPr>
              <w:t>委員</w:t>
            </w:r>
          </w:p>
        </w:tc>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河地　直樹</w:t>
            </w:r>
          </w:p>
        </w:tc>
        <w:tc>
          <w:tcPr>
            <w:tcW w:w="49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rPr>
            </w:pPr>
            <w:r>
              <w:rPr>
                <w:rFonts w:hint="eastAsia"/>
              </w:rPr>
              <w:t>　産業振興課</w:t>
            </w:r>
          </w:p>
        </w:tc>
      </w:tr>
      <w:tr>
        <w:trPr>
          <w:trHeight w:val="454" w:hRule="atLeast"/>
        </w:trPr>
        <w:tc>
          <w:tcPr>
            <w:tcW w:w="15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Theme="minorEastAsia" w:hAnsiTheme="minorEastAsia"/>
                <w:color w:val="000000"/>
                <w:kern w:val="0"/>
                <w:sz w:val="22"/>
              </w:rPr>
            </w:pPr>
            <w:r>
              <w:rPr>
                <w:rFonts w:hint="eastAsia" w:asciiTheme="minorEastAsia" w:hAnsiTheme="minorEastAsia"/>
                <w:color w:val="000000"/>
                <w:kern w:val="0"/>
                <w:sz w:val="22"/>
              </w:rPr>
              <w:t>委員</w:t>
            </w:r>
          </w:p>
        </w:tc>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間渕　晃</w:t>
            </w:r>
          </w:p>
        </w:tc>
        <w:tc>
          <w:tcPr>
            <w:tcW w:w="49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rPr>
            </w:pPr>
            <w:r>
              <w:rPr>
                <w:rFonts w:hint="eastAsia"/>
              </w:rPr>
              <w:t>　地域振興課</w:t>
            </w:r>
          </w:p>
        </w:tc>
      </w:tr>
      <w:tr>
        <w:trPr>
          <w:trHeight w:val="454" w:hRule="atLeast"/>
        </w:trPr>
        <w:tc>
          <w:tcPr>
            <w:tcW w:w="15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Theme="minorEastAsia" w:hAnsiTheme="minorEastAsia"/>
                <w:color w:val="000000"/>
                <w:kern w:val="0"/>
                <w:sz w:val="22"/>
              </w:rPr>
            </w:pPr>
            <w:r>
              <w:rPr>
                <w:rFonts w:hint="eastAsia" w:asciiTheme="minorEastAsia" w:hAnsiTheme="minorEastAsia"/>
                <w:color w:val="000000"/>
                <w:kern w:val="0"/>
                <w:sz w:val="22"/>
              </w:rPr>
              <w:t>委員</w:t>
            </w:r>
          </w:p>
        </w:tc>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荻曽　英勝</w:t>
            </w:r>
          </w:p>
        </w:tc>
        <w:tc>
          <w:tcPr>
            <w:tcW w:w="499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rPr>
            </w:pPr>
            <w:r>
              <w:rPr>
                <w:rFonts w:hint="eastAsia"/>
              </w:rPr>
              <w:t>　財政課長</w:t>
            </w:r>
          </w:p>
        </w:tc>
      </w:tr>
    </w:tbl>
    <w:p>
      <w:pPr>
        <w:pStyle w:val="0"/>
        <w:autoSpaceDE w:val="0"/>
        <w:autoSpaceDN w:val="0"/>
        <w:spacing w:line="320" w:lineRule="exact"/>
        <w:rPr>
          <w:rFonts w:hint="default" w:asciiTheme="minorEastAsia" w:hAnsiTheme="minorEastAsia"/>
          <w:sz w:val="22"/>
        </w:rPr>
      </w:pPr>
    </w:p>
    <w:p>
      <w:pPr>
        <w:pStyle w:val="0"/>
        <w:autoSpaceDE w:val="0"/>
        <w:autoSpaceDN w:val="0"/>
        <w:rPr>
          <w:rFonts w:hint="default" w:asciiTheme="minorEastAsia" w:hAnsiTheme="minorEastAsia"/>
          <w:sz w:val="22"/>
        </w:rPr>
      </w:pPr>
      <w:r>
        <w:rPr>
          <w:rFonts w:hint="eastAsia" w:asciiTheme="minorEastAsia" w:hAnsiTheme="minorEastAsia"/>
          <w:sz w:val="22"/>
        </w:rPr>
        <w:t>３　審査の実施</w:t>
      </w:r>
    </w:p>
    <w:p>
      <w:pPr>
        <w:pStyle w:val="0"/>
        <w:autoSpaceDE w:val="0"/>
        <w:autoSpaceDN w:val="0"/>
        <w:ind w:firstLine="251" w:firstLineChars="100"/>
        <w:rPr>
          <w:rFonts w:hint="default" w:asciiTheme="minorEastAsia" w:hAnsiTheme="minorEastAsia"/>
          <w:sz w:val="22"/>
        </w:rPr>
      </w:pPr>
      <w:r>
        <w:rPr>
          <w:rFonts w:hint="eastAsia" w:asciiTheme="minorEastAsia" w:hAnsiTheme="minorEastAsia"/>
          <w:sz w:val="22"/>
        </w:rPr>
        <w:t>(1)</w:t>
      </w:r>
      <w:r>
        <w:rPr>
          <w:rFonts w:hint="eastAsia" w:asciiTheme="minorEastAsia" w:hAnsiTheme="minorEastAsia"/>
          <w:sz w:val="22"/>
        </w:rPr>
        <w:t>　選定委員会の流れ</w:t>
      </w:r>
    </w:p>
    <w:p>
      <w:pPr>
        <w:pStyle w:val="0"/>
        <w:autoSpaceDE w:val="0"/>
        <w:autoSpaceDN w:val="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bdr w:val="single" w:color="auto" w:sz="4" w:space="0"/>
        </w:rPr>
        <w:t>１</w:t>
      </w:r>
      <w:r>
        <w:rPr>
          <w:rFonts w:hint="eastAsia" w:asciiTheme="minorEastAsia" w:hAnsiTheme="minorEastAsia"/>
          <w:sz w:val="22"/>
        </w:rPr>
        <w:t>事前説明</w:t>
      </w:r>
    </w:p>
    <w:p>
      <w:pPr>
        <w:pStyle w:val="0"/>
        <w:autoSpaceDE w:val="0"/>
        <w:autoSpaceDN w:val="0"/>
        <w:rPr>
          <w:rFonts w:hint="default" w:asciiTheme="minorEastAsia" w:hAnsiTheme="minorEastAsia"/>
          <w:sz w:val="22"/>
        </w:rPr>
      </w:pPr>
      <w:r>
        <w:rPr>
          <w:rFonts w:hint="eastAsia" w:asciiTheme="minorEastAsia" w:hAnsiTheme="minorEastAsia"/>
          <w:sz w:val="22"/>
        </w:rPr>
        <w:t>　　・事務局より、審査の実施内容及び流れについて説明する。</w:t>
      </w:r>
    </w:p>
    <w:p>
      <w:pPr>
        <w:pStyle w:val="0"/>
        <w:autoSpaceDE w:val="0"/>
        <w:autoSpaceDN w:val="0"/>
        <w:ind w:firstLine="502" w:firstLineChars="200"/>
        <w:rPr>
          <w:rFonts w:hint="default" w:asciiTheme="minorEastAsia" w:hAnsiTheme="minorEastAsia"/>
          <w:sz w:val="22"/>
        </w:rPr>
      </w:pPr>
      <w:r>
        <w:rPr>
          <w:rFonts w:hint="eastAsia" w:asciiTheme="minorEastAsia" w:hAnsiTheme="minorEastAsia"/>
          <w:sz w:val="22"/>
          <w:bdr w:val="single" w:color="auto" w:sz="4" w:space="0"/>
        </w:rPr>
        <w:t>２</w:t>
      </w:r>
      <w:r>
        <w:rPr>
          <w:rFonts w:hint="eastAsia" w:asciiTheme="minorEastAsia" w:hAnsiTheme="minorEastAsia"/>
          <w:sz w:val="22"/>
        </w:rPr>
        <w:t>プレゼンテーション及びヒアリング</w:t>
      </w:r>
    </w:p>
    <w:p>
      <w:pPr>
        <w:pStyle w:val="0"/>
        <w:autoSpaceDE w:val="0"/>
        <w:autoSpaceDN w:val="0"/>
        <w:ind w:left="733" w:leftChars="200" w:hanging="251" w:hangingChars="100"/>
        <w:rPr>
          <w:rFonts w:hint="default" w:asciiTheme="minorEastAsia" w:hAnsiTheme="minorEastAsia"/>
          <w:sz w:val="22"/>
        </w:rPr>
      </w:pPr>
      <w:r>
        <w:rPr>
          <w:rFonts w:hint="eastAsia" w:asciiTheme="minorEastAsia" w:hAnsiTheme="minorEastAsia"/>
          <w:sz w:val="22"/>
        </w:rPr>
        <w:t>・各機能及び事業者（名称は伏せる）ごと、</w:t>
      </w:r>
    </w:p>
    <w:p>
      <w:pPr>
        <w:pStyle w:val="0"/>
        <w:autoSpaceDE w:val="0"/>
        <w:autoSpaceDN w:val="0"/>
        <w:ind w:left="723" w:leftChars="300"/>
        <w:rPr>
          <w:rFonts w:hint="default" w:asciiTheme="minorEastAsia" w:hAnsiTheme="minorEastAsia"/>
          <w:sz w:val="22"/>
        </w:rPr>
      </w:pPr>
      <w:r>
        <w:rPr>
          <w:rFonts w:hint="eastAsia" w:asciiTheme="minorEastAsia" w:hAnsiTheme="minorEastAsia"/>
          <w:sz w:val="22"/>
        </w:rPr>
        <w:t>準備　⇒　プレゼンテーション　⇒　ヒアリング　⇒　採点の順で実施する。</w:t>
      </w:r>
    </w:p>
    <w:p>
      <w:pPr>
        <w:pStyle w:val="0"/>
        <w:autoSpaceDE w:val="0"/>
        <w:autoSpaceDN w:val="0"/>
        <w:ind w:firstLine="502" w:firstLineChars="200"/>
        <w:rPr>
          <w:rFonts w:hint="default" w:asciiTheme="minorEastAsia" w:hAnsiTheme="minorEastAsia"/>
          <w:sz w:val="22"/>
        </w:rPr>
      </w:pPr>
      <w:r>
        <w:rPr>
          <w:rFonts w:hint="eastAsia" w:asciiTheme="minorEastAsia" w:hAnsiTheme="minorEastAsia"/>
          <w:sz w:val="22"/>
          <w:bdr w:val="single" w:color="auto" w:sz="4" w:space="0"/>
        </w:rPr>
        <w:t>３</w:t>
      </w:r>
      <w:r>
        <w:rPr>
          <w:rFonts w:hint="eastAsia" w:asciiTheme="minorEastAsia" w:hAnsiTheme="minorEastAsia"/>
          <w:sz w:val="22"/>
        </w:rPr>
        <w:t>採点調整・全体集計・意見交換</w:t>
      </w:r>
    </w:p>
    <w:p>
      <w:pPr>
        <w:pStyle w:val="0"/>
        <w:autoSpaceDE w:val="0"/>
        <w:autoSpaceDN w:val="0"/>
        <w:ind w:left="733" w:leftChars="200" w:hanging="251" w:hangingChars="100"/>
        <w:rPr>
          <w:rFonts w:hint="default" w:asciiTheme="minorEastAsia" w:hAnsiTheme="minorEastAsia"/>
          <w:sz w:val="22"/>
        </w:rPr>
      </w:pPr>
      <w:r>
        <w:rPr>
          <w:rFonts w:hint="eastAsia" w:asciiTheme="minorEastAsia" w:hAnsiTheme="minorEastAsia"/>
          <w:sz w:val="22"/>
        </w:rPr>
        <w:t>・選定委員会で協議の上、必要に応じて選定委員各自が採点を見直す。</w:t>
      </w:r>
    </w:p>
    <w:p>
      <w:pPr>
        <w:pStyle w:val="0"/>
        <w:autoSpaceDE w:val="0"/>
        <w:autoSpaceDN w:val="0"/>
        <w:ind w:left="733" w:leftChars="200" w:hanging="251" w:hangingChars="100"/>
        <w:rPr>
          <w:rFonts w:hint="default" w:asciiTheme="minorEastAsia" w:hAnsiTheme="minorEastAsia"/>
          <w:sz w:val="22"/>
        </w:rPr>
      </w:pPr>
      <w:r>
        <w:rPr>
          <w:rFonts w:hint="eastAsia" w:asciiTheme="minorEastAsia" w:hAnsiTheme="minorEastAsia"/>
          <w:sz w:val="22"/>
        </w:rPr>
        <w:t>・採点を完了したら、事務局が採点表を回収・集計する。</w:t>
      </w:r>
    </w:p>
    <w:p>
      <w:pPr>
        <w:pStyle w:val="0"/>
        <w:autoSpaceDE w:val="0"/>
        <w:autoSpaceDN w:val="0"/>
        <w:ind w:left="733" w:leftChars="200" w:hanging="251" w:hangingChars="100"/>
        <w:rPr>
          <w:rFonts w:hint="default" w:asciiTheme="minorEastAsia" w:hAnsiTheme="minorEastAsia"/>
          <w:sz w:val="22"/>
        </w:rPr>
      </w:pPr>
      <w:r>
        <w:rPr>
          <w:rFonts w:hint="eastAsia" w:asciiTheme="minorEastAsia" w:hAnsiTheme="minorEastAsia"/>
          <w:sz w:val="22"/>
        </w:rPr>
        <w:t>・事務局は採点の集計結果を選定委員に配付し、事業者の名称を発表する。</w:t>
      </w:r>
    </w:p>
    <w:p>
      <w:pPr>
        <w:pStyle w:val="0"/>
        <w:autoSpaceDE w:val="0"/>
        <w:autoSpaceDN w:val="0"/>
        <w:ind w:left="733" w:leftChars="200" w:hanging="251" w:hangingChars="100"/>
        <w:rPr>
          <w:rFonts w:hint="default" w:asciiTheme="minorEastAsia" w:hAnsiTheme="minorEastAsia"/>
          <w:sz w:val="22"/>
        </w:rPr>
      </w:pPr>
      <w:r>
        <w:rPr>
          <w:rFonts w:hint="eastAsia" w:asciiTheme="minorEastAsia" w:hAnsiTheme="minorEastAsia"/>
          <w:sz w:val="22"/>
        </w:rPr>
        <w:t>・選定委員会として最高点を得た事業者を候補者として選定する。</w:t>
      </w:r>
    </w:p>
    <w:p>
      <w:pPr>
        <w:pStyle w:val="0"/>
        <w:autoSpaceDE w:val="0"/>
        <w:autoSpaceDN w:val="0"/>
        <w:ind w:firstLine="251" w:firstLineChars="100"/>
        <w:rPr>
          <w:rFonts w:hint="default" w:asciiTheme="minorEastAsia" w:hAnsiTheme="minorEastAsia"/>
          <w:sz w:val="22"/>
        </w:rPr>
      </w:pPr>
      <w:r>
        <w:rPr>
          <w:rFonts w:hint="eastAsia" w:asciiTheme="minorEastAsia" w:hAnsiTheme="minorEastAsia"/>
          <w:sz w:val="22"/>
        </w:rPr>
        <w:t>(2)</w:t>
      </w:r>
      <w:r>
        <w:rPr>
          <w:rFonts w:hint="eastAsia" w:asciiTheme="minorEastAsia" w:hAnsiTheme="minorEastAsia"/>
          <w:sz w:val="22"/>
        </w:rPr>
        <w:t>　審査方法</w:t>
      </w:r>
    </w:p>
    <w:p>
      <w:pPr>
        <w:pStyle w:val="0"/>
        <w:autoSpaceDE w:val="0"/>
        <w:autoSpaceDN w:val="0"/>
        <w:ind w:left="753" w:hanging="753" w:hangingChars="300"/>
        <w:jc w:val="left"/>
        <w:rPr>
          <w:rFonts w:hint="default" w:asciiTheme="minorEastAsia" w:hAnsiTheme="minorEastAsia"/>
          <w:sz w:val="22"/>
        </w:rPr>
      </w:pPr>
      <w:r>
        <w:rPr>
          <w:rFonts w:hint="eastAsia" w:asciiTheme="minorEastAsia" w:hAnsiTheme="minorEastAsia"/>
          <w:sz w:val="22"/>
        </w:rPr>
        <w:t>　　・提案書類及びプレゼンテーションに基づき、審査基準（審査項目及び配点）により審査する。</w:t>
      </w:r>
    </w:p>
    <w:p>
      <w:pPr>
        <w:pStyle w:val="0"/>
        <w:autoSpaceDE w:val="0"/>
        <w:autoSpaceDN w:val="0"/>
        <w:ind w:left="733" w:leftChars="200" w:hanging="251" w:hangingChars="100"/>
        <w:jc w:val="left"/>
        <w:rPr>
          <w:rFonts w:hint="default" w:asciiTheme="minorEastAsia" w:hAnsiTheme="minorEastAsia"/>
          <w:sz w:val="22"/>
        </w:rPr>
      </w:pPr>
      <w:r>
        <w:rPr>
          <w:rFonts w:hint="eastAsia" w:asciiTheme="minorEastAsia" w:hAnsiTheme="minorEastAsia"/>
          <w:sz w:val="22"/>
        </w:rPr>
        <w:t>・各選定委員が</w:t>
      </w:r>
      <w:r>
        <w:rPr>
          <w:rFonts w:hint="eastAsia" w:asciiTheme="minorEastAsia" w:hAnsiTheme="minorEastAsia"/>
          <w:sz w:val="22"/>
        </w:rPr>
        <w:t>100</w:t>
      </w:r>
      <w:r>
        <w:rPr>
          <w:rFonts w:hint="eastAsia" w:asciiTheme="minorEastAsia" w:hAnsiTheme="minorEastAsia"/>
          <w:sz w:val="22"/>
        </w:rPr>
        <w:t>点満点で評価・採点する（審査書類については前日までに各選定委員に配付）。</w:t>
      </w:r>
    </w:p>
    <w:p>
      <w:pPr>
        <w:pStyle w:val="0"/>
        <w:autoSpaceDE w:val="0"/>
        <w:autoSpaceDN w:val="0"/>
        <w:ind w:left="733" w:leftChars="200" w:hanging="251" w:hangingChars="100"/>
        <w:jc w:val="left"/>
        <w:rPr>
          <w:rFonts w:hint="default" w:asciiTheme="minorEastAsia" w:hAnsiTheme="minorEastAsia"/>
          <w:sz w:val="22"/>
        </w:rPr>
      </w:pPr>
      <w:r>
        <w:rPr>
          <w:rFonts w:hint="eastAsia" w:asciiTheme="minorEastAsia" w:hAnsiTheme="minorEastAsia"/>
          <w:sz w:val="22"/>
        </w:rPr>
        <w:t>・各事業者のプレゼンテーション・ヒアリング・採点が全て終了した後、補足情報を事務局から提供し、選定委員会で協議の上、必要に応じて委員各自が採点を見直す。</w:t>
      </w:r>
    </w:p>
    <w:p>
      <w:pPr>
        <w:pStyle w:val="0"/>
        <w:autoSpaceDE w:val="0"/>
        <w:autoSpaceDN w:val="0"/>
        <w:ind w:left="733" w:leftChars="200" w:hanging="251" w:hangingChars="100"/>
        <w:jc w:val="left"/>
        <w:rPr>
          <w:rFonts w:hint="default" w:asciiTheme="minorEastAsia" w:hAnsiTheme="minorEastAsia"/>
          <w:sz w:val="22"/>
        </w:rPr>
      </w:pPr>
      <w:r>
        <w:rPr>
          <w:rFonts w:hint="eastAsia" w:asciiTheme="minorEastAsia" w:hAnsiTheme="minorEastAsia"/>
          <w:sz w:val="22"/>
        </w:rPr>
        <w:t>・５人の採点結果のうち合計得点（</w:t>
      </w:r>
      <w:r>
        <w:rPr>
          <w:rFonts w:hint="eastAsia" w:asciiTheme="minorEastAsia" w:hAnsiTheme="minorEastAsia"/>
          <w:sz w:val="22"/>
        </w:rPr>
        <w:t>500</w:t>
      </w:r>
      <w:r>
        <w:rPr>
          <w:rFonts w:hint="eastAsia" w:asciiTheme="minorEastAsia" w:hAnsiTheme="minorEastAsia"/>
          <w:sz w:val="22"/>
        </w:rPr>
        <w:t>点満点）が最低基準点を上回る者のうち、最高点を得た事業者を候補者として選定する。</w:t>
      </w:r>
    </w:p>
    <w:p>
      <w:pPr>
        <w:pStyle w:val="0"/>
        <w:autoSpaceDE w:val="0"/>
        <w:autoSpaceDN w:val="0"/>
        <w:ind w:left="733" w:leftChars="200" w:hanging="251" w:hangingChars="100"/>
        <w:jc w:val="left"/>
        <w:rPr>
          <w:rFonts w:hint="default" w:asciiTheme="minorEastAsia" w:hAnsiTheme="minorEastAsia"/>
          <w:sz w:val="22"/>
        </w:rPr>
      </w:pPr>
      <w:r>
        <w:rPr>
          <w:rFonts w:hint="eastAsia" w:asciiTheme="minorEastAsia" w:hAnsiTheme="minorEastAsia"/>
          <w:sz w:val="22"/>
        </w:rPr>
        <w:t>・最低基準点は、合計得点における満点の５割（</w:t>
      </w:r>
      <w:r>
        <w:rPr>
          <w:rFonts w:hint="eastAsia" w:asciiTheme="minorEastAsia" w:hAnsiTheme="minorEastAsia"/>
          <w:sz w:val="22"/>
        </w:rPr>
        <w:t>250</w:t>
      </w:r>
      <w:r>
        <w:rPr>
          <w:rFonts w:hint="eastAsia" w:asciiTheme="minorEastAsia" w:hAnsiTheme="minorEastAsia"/>
          <w:sz w:val="22"/>
        </w:rPr>
        <w:t>点）とし、最低基準点に達しない者は候補者として選定しない。また、いずれの事業者も最低基準点を満たさない場合は、再度事業者を募りプロポーザルを行うものとする。</w:t>
      </w:r>
    </w:p>
    <w:p>
      <w:pPr>
        <w:pStyle w:val="0"/>
        <w:autoSpaceDE w:val="0"/>
        <w:autoSpaceDN w:val="0"/>
        <w:ind w:left="502" w:hanging="502" w:hangingChars="200"/>
        <w:rPr>
          <w:rFonts w:hint="default" w:asciiTheme="minorEastAsia" w:hAnsiTheme="minorEastAsia"/>
          <w:sz w:val="22"/>
        </w:rPr>
      </w:pPr>
    </w:p>
    <w:p>
      <w:pPr>
        <w:pStyle w:val="0"/>
        <w:autoSpaceDE w:val="0"/>
        <w:autoSpaceDN w:val="0"/>
        <w:ind w:left="502" w:hanging="502" w:hangingChars="200"/>
        <w:rPr>
          <w:rFonts w:hint="default" w:asciiTheme="minorEastAsia" w:hAnsiTheme="minorEastAsia"/>
          <w:sz w:val="22"/>
        </w:rPr>
      </w:pPr>
      <w:r>
        <w:rPr>
          <w:rFonts w:hint="eastAsia" w:asciiTheme="minorEastAsia" w:hAnsiTheme="minorEastAsia"/>
          <w:sz w:val="22"/>
        </w:rPr>
        <w:t>４　その他</w:t>
      </w:r>
    </w:p>
    <w:p>
      <w:pPr>
        <w:pStyle w:val="0"/>
        <w:autoSpaceDE w:val="0"/>
        <w:autoSpaceDN w:val="0"/>
        <w:ind w:left="502" w:hanging="502" w:hangingChars="200"/>
        <w:rPr>
          <w:rFonts w:hint="default" w:asciiTheme="minorEastAsia" w:hAnsiTheme="minorEastAsia"/>
          <w:sz w:val="22"/>
        </w:rPr>
      </w:pPr>
      <w:r>
        <w:rPr>
          <w:rFonts w:hint="eastAsia" w:asciiTheme="minorEastAsia" w:hAnsiTheme="minorEastAsia"/>
          <w:sz w:val="22"/>
        </w:rPr>
        <w:t>　　・プロポーザルの審査に必要な事項については、選定委員会で協議し別に定める。</w:t>
      </w:r>
    </w:p>
    <w:sectPr>
      <w:pgSz w:w="11906" w:h="16838"/>
      <w:pgMar w:top="1247" w:right="1304" w:bottom="1588" w:left="1644" w:header="851" w:footer="567" w:gutter="0"/>
      <w:cols w:space="720"/>
      <w:textDirection w:val="lrTb"/>
      <w:docGrid w:type="linesAndChars" w:linePitch="340"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TotalTime>
  <Pages>2</Pages>
  <Words>5</Words>
  <Characters>970</Characters>
  <Application>JUST Note</Application>
  <Lines>66</Lines>
  <Paragraphs>46</Paragraphs>
  <Company>kani</Company>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AD13-0060</dc:creator>
  <cp:lastModifiedBy>AD21-0003</cp:lastModifiedBy>
  <cp:lastPrinted>2020-05-12T10:25:00Z</cp:lastPrinted>
  <dcterms:created xsi:type="dcterms:W3CDTF">2017-08-15T09:33:00Z</dcterms:created>
  <dcterms:modified xsi:type="dcterms:W3CDTF">2022-01-19T23:48:44Z</dcterms:modified>
  <cp:revision>27</cp:revision>
</cp:coreProperties>
</file>